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B4" w:rsidRDefault="00DA72B4" w:rsidP="00DA72B4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Основные параметры КАБЕЛЯ для подбора аналога:</w:t>
      </w:r>
    </w:p>
    <w:p w:rsidR="00DA72B4" w:rsidRDefault="00DA72B4" w:rsidP="00DA72B4">
      <w:pPr>
        <w:pStyle w:val="msolistparagraph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Symbol" w:hAnsi="Symbol" w:cs="Aria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 </w:t>
      </w:r>
      <w:r>
        <w:rPr>
          <w:rFonts w:ascii="Calibri" w:hAnsi="Calibri" w:cs="Calibri"/>
          <w:color w:val="1F497D"/>
          <w:sz w:val="22"/>
          <w:szCs w:val="22"/>
        </w:rPr>
        <w:t>Кабель для передачи данных;</w:t>
      </w:r>
    </w:p>
    <w:p w:rsidR="00DA72B4" w:rsidRDefault="00DA72B4" w:rsidP="00DA72B4">
      <w:pPr>
        <w:pStyle w:val="msolistparagraph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Symbol" w:hAnsi="Symbol" w:cs="Aria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 </w:t>
      </w:r>
      <w:r>
        <w:rPr>
          <w:rFonts w:ascii="Calibri" w:hAnsi="Calibri" w:cs="Calibri"/>
          <w:color w:val="1F497D"/>
          <w:sz w:val="22"/>
          <w:szCs w:val="22"/>
        </w:rPr>
        <w:t>Витая пара;</w:t>
      </w:r>
    </w:p>
    <w:p w:rsidR="00DA72B4" w:rsidRDefault="00DA72B4" w:rsidP="00DA72B4">
      <w:pPr>
        <w:pStyle w:val="msolistparagraph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Symbol" w:hAnsi="Symbol" w:cs="Aria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 </w:t>
      </w:r>
      <w:r>
        <w:rPr>
          <w:rFonts w:ascii="Calibri" w:hAnsi="Calibri" w:cs="Calibri"/>
          <w:color w:val="1F497D"/>
          <w:sz w:val="22"/>
          <w:szCs w:val="22"/>
        </w:rPr>
        <w:t>Количество пар не менее 10;</w:t>
      </w:r>
    </w:p>
    <w:p w:rsidR="00DA72B4" w:rsidRDefault="00DA72B4" w:rsidP="00DA72B4">
      <w:pPr>
        <w:pStyle w:val="msolistparagraph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Symbol" w:hAnsi="Symbol" w:cs="Aria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 </w:t>
      </w:r>
      <w:r>
        <w:rPr>
          <w:rFonts w:ascii="Calibri" w:hAnsi="Calibri" w:cs="Calibri"/>
          <w:color w:val="1F497D"/>
          <w:sz w:val="22"/>
          <w:szCs w:val="22"/>
        </w:rPr>
        <w:t>Сечение провода не менее 0,22 мм2 не более 1 мм2;</w:t>
      </w:r>
    </w:p>
    <w:p w:rsidR="00DA72B4" w:rsidRDefault="00DA72B4" w:rsidP="00DA72B4">
      <w:pPr>
        <w:pStyle w:val="msolistparagraph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Symbol" w:hAnsi="Symbol" w:cs="Aria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 </w:t>
      </w:r>
      <w:r>
        <w:rPr>
          <w:rFonts w:ascii="Calibri" w:hAnsi="Calibri" w:cs="Calibri"/>
          <w:color w:val="1F497D"/>
          <w:sz w:val="22"/>
          <w:szCs w:val="22"/>
        </w:rPr>
        <w:t>Наличие экранирующей оплетки;</w:t>
      </w:r>
    </w:p>
    <w:p w:rsidR="00DA72B4" w:rsidRDefault="00DA72B4" w:rsidP="00DA72B4">
      <w:pPr>
        <w:pStyle w:val="msolistparagraph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Symbol" w:hAnsi="Symbol" w:cs="Aria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 </w:t>
      </w:r>
      <w:r>
        <w:rPr>
          <w:rFonts w:ascii="Calibri" w:hAnsi="Calibri" w:cs="Calibri"/>
          <w:color w:val="1F497D"/>
          <w:sz w:val="22"/>
          <w:szCs w:val="22"/>
        </w:rPr>
        <w:t xml:space="preserve">Кабель гибкий,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вандалоустойчивый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;</w:t>
      </w:r>
    </w:p>
    <w:p w:rsidR="00DA72B4" w:rsidRDefault="00DA72B4" w:rsidP="00DA72B4">
      <w:pPr>
        <w:pStyle w:val="msolistparagraph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Symbol" w:hAnsi="Symbol" w:cs="Aria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 </w:t>
      </w:r>
      <w:r>
        <w:rPr>
          <w:rFonts w:ascii="Calibri" w:hAnsi="Calibri" w:cs="Calibri"/>
          <w:color w:val="1F497D"/>
          <w:sz w:val="22"/>
          <w:szCs w:val="22"/>
        </w:rPr>
        <w:t>Температура подвижно - от -50С до +700С, согласно UL от -50С до +600С;</w:t>
      </w:r>
    </w:p>
    <w:p w:rsidR="00DA72B4" w:rsidRDefault="00DA72B4" w:rsidP="00DA72B4">
      <w:pPr>
        <w:pStyle w:val="msolistparagraph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Symbol" w:hAnsi="Symbol" w:cs="Aria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>        </w:t>
      </w:r>
      <w:r>
        <w:rPr>
          <w:rFonts w:ascii="Calibri" w:hAnsi="Calibri" w:cs="Calibri"/>
          <w:color w:val="1F497D"/>
          <w:sz w:val="22"/>
          <w:szCs w:val="22"/>
        </w:rPr>
        <w:t xml:space="preserve">Свойства изоляции -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самозатухающая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трудновоспламеняющаяся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;</w:t>
      </w:r>
    </w:p>
    <w:p w:rsidR="00B62BAB" w:rsidRDefault="00B62BAB">
      <w:bookmarkStart w:id="0" w:name="_GoBack"/>
      <w:bookmarkEnd w:id="0"/>
    </w:p>
    <w:sectPr w:rsidR="00B6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B4"/>
    <w:rsid w:val="00B62BAB"/>
    <w:rsid w:val="00D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451E"/>
  <w15:chartTrackingRefBased/>
  <w15:docId w15:val="{BD8ADD3D-F10B-4867-BFAD-9E1634D4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A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DA72B4"/>
  </w:style>
  <w:style w:type="paragraph" w:customStyle="1" w:styleId="msolistparagraphmrcssattr">
    <w:name w:val="msolistparagraph_mr_css_attr"/>
    <w:basedOn w:val="a"/>
    <w:rsid w:val="00DA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2021-08-10T06:51:00Z</dcterms:created>
  <dcterms:modified xsi:type="dcterms:W3CDTF">2021-08-10T06:52:00Z</dcterms:modified>
</cp:coreProperties>
</file>